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24" w:type="pct"/>
        <w:tblCellSpacing w:w="0" w:type="dxa"/>
        <w:tblInd w:w="5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</w:tblGrid>
      <w:tr w:rsidR="00F53207" w:rsidRPr="00B607F4" w:rsidTr="0052596A">
        <w:trPr>
          <w:tblCellSpacing w:w="0" w:type="dxa"/>
        </w:trPr>
        <w:tc>
          <w:tcPr>
            <w:tcW w:w="5000" w:type="pct"/>
          </w:tcPr>
          <w:p w:rsidR="00F36637" w:rsidRDefault="00F53207" w:rsidP="00525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Додаток </w:t>
            </w:r>
            <w:r w:rsidRPr="00B607F4">
              <w:rPr>
                <w:rFonts w:ascii="Times New Roman" w:hAnsi="Times New Roman"/>
                <w:sz w:val="24"/>
                <w:szCs w:val="24"/>
                <w:lang w:val="uk-UA"/>
              </w:rPr>
              <w:t>до наказу</w:t>
            </w:r>
          </w:p>
          <w:p w:rsidR="00F53207" w:rsidRPr="00B607F4" w:rsidRDefault="00F53207" w:rsidP="00525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0101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від </w:t>
            </w:r>
            <w:r w:rsidR="002C64A9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19</w:t>
            </w:r>
            <w:r w:rsidRPr="009E0101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червня 2017 року </w:t>
            </w:r>
            <w:r w:rsidRPr="00B607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r w:rsidR="00F3663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к-а</w:t>
            </w:r>
          </w:p>
          <w:p w:rsidR="00F53207" w:rsidRPr="00B607F4" w:rsidRDefault="00F53207" w:rsidP="00525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53207" w:rsidRPr="00B607F4" w:rsidRDefault="00F53207" w:rsidP="00F532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607F4">
        <w:rPr>
          <w:rFonts w:ascii="Times New Roman" w:hAnsi="Times New Roman"/>
          <w:b/>
          <w:sz w:val="24"/>
          <w:szCs w:val="24"/>
          <w:lang w:val="uk-UA"/>
        </w:rPr>
        <w:t xml:space="preserve">УМОВИ </w:t>
      </w:r>
      <w:r w:rsidRPr="00B607F4">
        <w:rPr>
          <w:rFonts w:ascii="Times New Roman" w:hAnsi="Times New Roman"/>
          <w:b/>
          <w:sz w:val="24"/>
          <w:szCs w:val="24"/>
          <w:lang w:val="uk-UA"/>
        </w:rPr>
        <w:br/>
        <w:t>проведення конкурсу</w:t>
      </w:r>
    </w:p>
    <w:p w:rsidR="00F53207" w:rsidRPr="00B607F4" w:rsidRDefault="00F53207" w:rsidP="00F532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607F4">
        <w:rPr>
          <w:rFonts w:ascii="Times New Roman" w:hAnsi="Times New Roman"/>
          <w:b/>
          <w:sz w:val="24"/>
          <w:szCs w:val="24"/>
          <w:lang w:val="uk-UA"/>
        </w:rPr>
        <w:t xml:space="preserve">на заміщення вакантної посади державного службовця категорії «В» </w:t>
      </w:r>
    </w:p>
    <w:p w:rsidR="00F53207" w:rsidRDefault="00F53207" w:rsidP="00F532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головного спеціаліста із судової статистики, кодифікації,</w:t>
      </w:r>
    </w:p>
    <w:p w:rsidR="00F53207" w:rsidRPr="00B607F4" w:rsidRDefault="00F53207" w:rsidP="00F532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по роботі зі зверненнями громадян </w:t>
      </w:r>
    </w:p>
    <w:p w:rsidR="00F53207" w:rsidRDefault="00F53207" w:rsidP="00F532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Липоводолинського</w:t>
      </w:r>
      <w:r w:rsidRPr="00B607F4">
        <w:rPr>
          <w:rFonts w:ascii="Times New Roman" w:hAnsi="Times New Roman"/>
          <w:b/>
          <w:sz w:val="24"/>
          <w:szCs w:val="24"/>
          <w:lang w:val="uk-UA"/>
        </w:rPr>
        <w:t xml:space="preserve"> районного суду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Сумської </w:t>
      </w:r>
      <w:r w:rsidRPr="00B607F4">
        <w:rPr>
          <w:rFonts w:ascii="Times New Roman" w:hAnsi="Times New Roman"/>
          <w:b/>
          <w:sz w:val="24"/>
          <w:szCs w:val="24"/>
          <w:lang w:val="uk-UA"/>
        </w:rPr>
        <w:t xml:space="preserve"> області</w:t>
      </w:r>
    </w:p>
    <w:p w:rsidR="00574A57" w:rsidRPr="00B607F4" w:rsidRDefault="00574A57" w:rsidP="00F532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D41DCE" w:rsidTr="00292C3A">
        <w:tc>
          <w:tcPr>
            <w:tcW w:w="9571" w:type="dxa"/>
            <w:gridSpan w:val="2"/>
          </w:tcPr>
          <w:p w:rsidR="00D41DCE" w:rsidRPr="00D5531B" w:rsidRDefault="00D41DCE" w:rsidP="00D4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F53207" w:rsidTr="00D41DCE">
        <w:tc>
          <w:tcPr>
            <w:tcW w:w="2660" w:type="dxa"/>
          </w:tcPr>
          <w:p w:rsidR="00D41DCE" w:rsidRPr="00D5531B" w:rsidRDefault="00D41DCE" w:rsidP="00D41DCE">
            <w:pPr>
              <w:ind w:firstLine="2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Посадові обов’язки</w:t>
            </w:r>
          </w:p>
          <w:p w:rsidR="00F53207" w:rsidRPr="00D5531B" w:rsidRDefault="00F53207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F53207" w:rsidRPr="00D5531B" w:rsidRDefault="00D41DC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Головний спеціаліст  із судової статистики, кодифікації, по роботі зі зверненнями громадян:</w:t>
            </w:r>
          </w:p>
          <w:p w:rsidR="00D41DCE" w:rsidRPr="00D5531B" w:rsidRDefault="00D41DCE" w:rsidP="00D41DCE">
            <w:pPr>
              <w:widowControl w:val="0"/>
              <w:shd w:val="clear" w:color="auto" w:fill="FFFFFF"/>
              <w:tabs>
                <w:tab w:val="left" w:pos="284"/>
                <w:tab w:val="left" w:pos="426"/>
                <w:tab w:val="left" w:pos="851"/>
                <w:tab w:val="left" w:pos="1411"/>
              </w:tabs>
              <w:autoSpaceDE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uk-UA"/>
              </w:rPr>
              <w:t>-</w:t>
            </w:r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абезпечує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достовірність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об'єктивність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оперативність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стабільність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цілісність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статистичної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роботу суду</w:t>
            </w:r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D41DCE" w:rsidRPr="00D5531B" w:rsidRDefault="00D41DCE" w:rsidP="00D41DCE">
            <w:pPr>
              <w:widowControl w:val="0"/>
              <w:shd w:val="clear" w:color="auto" w:fill="FFFFFF"/>
              <w:tabs>
                <w:tab w:val="left" w:pos="284"/>
                <w:tab w:val="left" w:pos="426"/>
                <w:tab w:val="left" w:pos="851"/>
                <w:tab w:val="left" w:pos="1411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5531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uk-UA"/>
              </w:rPr>
              <w:t xml:space="preserve">- </w:t>
            </w:r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живає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гласності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судової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статистики, з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цією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готує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відповідні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довідки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здійснює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постійний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зв'язок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засобами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масової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судової</w:t>
            </w:r>
            <w:proofErr w:type="spellEnd"/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статистики</w:t>
            </w:r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070BA0" w:rsidRPr="00D5531B" w:rsidRDefault="00D41DCE" w:rsidP="00070BA0">
            <w:pPr>
              <w:widowControl w:val="0"/>
              <w:shd w:val="clear" w:color="auto" w:fill="FFFFFF"/>
              <w:tabs>
                <w:tab w:val="left" w:pos="284"/>
                <w:tab w:val="left" w:pos="426"/>
                <w:tab w:val="left" w:pos="851"/>
                <w:tab w:val="left" w:pos="1411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вживає заходів щодо забезпечення належного ведення обліково-статистичної роботи суду, здійснює розробк</w:t>
            </w:r>
            <w:r w:rsidR="00070BA0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пропозицій щодо її покращення;</w:t>
            </w:r>
          </w:p>
          <w:p w:rsidR="00070BA0" w:rsidRPr="00D5531B" w:rsidRDefault="00070BA0" w:rsidP="00070BA0">
            <w:pPr>
              <w:widowControl w:val="0"/>
              <w:shd w:val="clear" w:color="auto" w:fill="FFFFFF"/>
              <w:tabs>
                <w:tab w:val="left" w:pos="284"/>
                <w:tab w:val="left" w:pos="426"/>
                <w:tab w:val="left" w:pos="851"/>
                <w:tab w:val="left" w:pos="1411"/>
              </w:tabs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о</w:t>
            </w:r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val="uk-UA"/>
              </w:rPr>
              <w:t>рганізовує та здійснює підготовку статистичних таблиць і довідок, з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дійснює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контроль за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веденням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судової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статистики,</w:t>
            </w:r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своєчасн</w:t>
            </w:r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val="uk-UA"/>
              </w:rPr>
              <w:t>им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та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якісн</w:t>
            </w:r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val="uk-UA"/>
              </w:rPr>
              <w:t>им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складанням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статистичних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звітів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подання їх до </w:t>
            </w:r>
            <w:proofErr w:type="spellStart"/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</w:t>
            </w:r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</w:t>
            </w:r>
            <w:proofErr w:type="spellEnd"/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</w:t>
            </w:r>
            <w:proofErr w:type="spellEnd"/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судової</w:t>
            </w:r>
            <w:proofErr w:type="spellEnd"/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адміністрації</w:t>
            </w:r>
            <w:proofErr w:type="spellEnd"/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України в Сумській області</w:t>
            </w:r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відповід</w:t>
            </w:r>
            <w:r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ного ТУ статистики Держкомстату;</w:t>
            </w:r>
          </w:p>
          <w:p w:rsidR="00070BA0" w:rsidRPr="00D5531B" w:rsidRDefault="00070BA0" w:rsidP="00070BA0">
            <w:pPr>
              <w:widowControl w:val="0"/>
              <w:shd w:val="clear" w:color="auto" w:fill="FFFFFF"/>
              <w:tabs>
                <w:tab w:val="left" w:pos="284"/>
                <w:tab w:val="left" w:pos="426"/>
                <w:tab w:val="left" w:pos="851"/>
                <w:tab w:val="left" w:pos="1411"/>
              </w:tabs>
              <w:autoSpaceDE w:val="0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з</w:t>
            </w:r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дійснює складання і передачу до </w:t>
            </w:r>
            <w:proofErr w:type="spellStart"/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</w:t>
            </w:r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</w:t>
            </w:r>
            <w:proofErr w:type="spellEnd"/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</w:t>
            </w:r>
            <w:proofErr w:type="spellEnd"/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судової</w:t>
            </w:r>
            <w:proofErr w:type="spellEnd"/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адміністрації</w:t>
            </w:r>
            <w:proofErr w:type="spellEnd"/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України в Сумській області</w:t>
            </w:r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апеляційного суду статистичних звітів форми № 1-мзс, </w:t>
            </w:r>
            <w:r w:rsidR="00D41DCE" w:rsidRPr="00D5531B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>1-л, 1-ап</w:t>
            </w:r>
            <w:r w:rsidRPr="00D5531B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>, 4, 6-8;</w:t>
            </w:r>
          </w:p>
          <w:p w:rsidR="00070BA0" w:rsidRPr="00D5531B" w:rsidRDefault="00070BA0" w:rsidP="00070BA0">
            <w:pPr>
              <w:widowControl w:val="0"/>
              <w:shd w:val="clear" w:color="auto" w:fill="FFFFFF"/>
              <w:tabs>
                <w:tab w:val="left" w:pos="284"/>
                <w:tab w:val="left" w:pos="426"/>
                <w:tab w:val="left" w:pos="851"/>
                <w:tab w:val="left" w:pos="1411"/>
              </w:tabs>
              <w:autoSpaceDE w:val="0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>- з</w:t>
            </w:r>
            <w:r w:rsidR="00D41DCE" w:rsidRPr="00D5531B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 xml:space="preserve">дійснює ведення картки на особу стосовно, якої судом розглянуто кримінальну справу за допомогою комп‘ютерної </w:t>
            </w:r>
            <w:r w:rsidRPr="00D5531B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>програми «Д-3»;</w:t>
            </w:r>
          </w:p>
          <w:p w:rsidR="00070BA0" w:rsidRPr="00D5531B" w:rsidRDefault="00070BA0" w:rsidP="00070BA0">
            <w:pPr>
              <w:widowControl w:val="0"/>
              <w:shd w:val="clear" w:color="auto" w:fill="FFFFFF"/>
              <w:tabs>
                <w:tab w:val="left" w:pos="284"/>
                <w:tab w:val="left" w:pos="426"/>
                <w:tab w:val="left" w:pos="851"/>
                <w:tab w:val="left" w:pos="1411"/>
              </w:tabs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>- з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дійснює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систематизацію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законодавства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та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судової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практики,</w:t>
            </w:r>
            <w:r w:rsidR="00D41DCE" w:rsidRPr="00D5531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рішень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Конституційного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Суду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України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облік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та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зберігання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актів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законодавства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судової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практики</w:t>
            </w:r>
            <w:r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070BA0" w:rsidRPr="00D5531B" w:rsidRDefault="00070BA0" w:rsidP="00070BA0">
            <w:pPr>
              <w:widowControl w:val="0"/>
              <w:shd w:val="clear" w:color="auto" w:fill="FFFFFF"/>
              <w:tabs>
                <w:tab w:val="left" w:pos="284"/>
                <w:tab w:val="left" w:pos="426"/>
                <w:tab w:val="left" w:pos="851"/>
                <w:tab w:val="left" w:pos="1411"/>
              </w:tabs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з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дійсн</w:t>
            </w:r>
            <w:r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ює</w:t>
            </w:r>
            <w:proofErr w:type="spellEnd"/>
            <w:r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ведення</w:t>
            </w:r>
            <w:proofErr w:type="spellEnd"/>
            <w:r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контрольних</w:t>
            </w:r>
            <w:proofErr w:type="spellEnd"/>
            <w:r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кодексів</w:t>
            </w:r>
            <w:proofErr w:type="spellEnd"/>
            <w:r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val="uk-UA"/>
              </w:rPr>
              <w:t>і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нформує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працівників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суду про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зміни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в чинному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законодавстві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судовій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практиці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судових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органів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рівня</w:t>
            </w:r>
            <w:proofErr w:type="spellEnd"/>
            <w:r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070BA0" w:rsidRPr="00D5531B" w:rsidRDefault="00070BA0" w:rsidP="00070BA0">
            <w:pPr>
              <w:widowControl w:val="0"/>
              <w:shd w:val="clear" w:color="auto" w:fill="FFFFFF"/>
              <w:tabs>
                <w:tab w:val="left" w:pos="284"/>
                <w:tab w:val="left" w:pos="426"/>
                <w:tab w:val="left" w:pos="851"/>
                <w:tab w:val="left" w:pos="1411"/>
              </w:tabs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о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рганізовує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роботу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бібліотеки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суду</w:t>
            </w:r>
            <w:r w:rsidR="00D41DCE" w:rsidRPr="00D5531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,</w:t>
            </w:r>
            <w:r w:rsidR="00D41DCE" w:rsidRPr="00D553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підбі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р</w:t>
            </w:r>
            <w:r w:rsidR="00D41DCE" w:rsidRPr="00D553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літератури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для</w:t>
            </w:r>
            <w:r w:rsidR="00D41DCE" w:rsidRPr="00D5531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суду</w:t>
            </w:r>
            <w:r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070BA0" w:rsidRPr="00D5531B" w:rsidRDefault="00070BA0" w:rsidP="00070BA0">
            <w:pPr>
              <w:widowControl w:val="0"/>
              <w:shd w:val="clear" w:color="auto" w:fill="FFFFFF"/>
              <w:tabs>
                <w:tab w:val="left" w:pos="284"/>
                <w:tab w:val="left" w:pos="426"/>
                <w:tab w:val="left" w:pos="851"/>
                <w:tab w:val="left" w:pos="1411"/>
              </w:tabs>
              <w:autoSpaceDE w:val="0"/>
              <w:jc w:val="both"/>
              <w:rPr>
                <w:rFonts w:ascii="Times New Roman" w:hAnsi="Times New Roman"/>
                <w:color w:val="000000"/>
                <w:spacing w:val="8"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Pr="00D5531B">
              <w:rPr>
                <w:rFonts w:ascii="Times New Roman" w:hAnsi="Times New Roman"/>
                <w:color w:val="000000"/>
                <w:spacing w:val="8"/>
                <w:sz w:val="24"/>
                <w:szCs w:val="24"/>
                <w:lang w:val="uk-UA"/>
              </w:rPr>
              <w:t>з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дійснює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роботу з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підвищення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кваліфікації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працівників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суду</w:t>
            </w:r>
            <w:r w:rsidRPr="00D5531B">
              <w:rPr>
                <w:rFonts w:ascii="Times New Roman" w:hAnsi="Times New Roman"/>
                <w:color w:val="000000"/>
                <w:spacing w:val="8"/>
                <w:sz w:val="24"/>
                <w:szCs w:val="24"/>
                <w:lang w:val="uk-UA"/>
              </w:rPr>
              <w:t>;</w:t>
            </w:r>
          </w:p>
          <w:p w:rsidR="00070BA0" w:rsidRPr="00D5531B" w:rsidRDefault="00070BA0" w:rsidP="00070BA0">
            <w:pPr>
              <w:widowControl w:val="0"/>
              <w:shd w:val="clear" w:color="auto" w:fill="FFFFFF"/>
              <w:tabs>
                <w:tab w:val="left" w:pos="284"/>
                <w:tab w:val="left" w:pos="426"/>
                <w:tab w:val="left" w:pos="851"/>
                <w:tab w:val="left" w:pos="1411"/>
              </w:tabs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/>
                <w:color w:val="000000"/>
                <w:spacing w:val="8"/>
                <w:sz w:val="24"/>
                <w:szCs w:val="24"/>
                <w:lang w:val="uk-UA"/>
              </w:rPr>
              <w:t>- в</w:t>
            </w:r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еде аналітичну роботу з </w:t>
            </w:r>
            <w:r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різних напрямів діяльності суду;</w:t>
            </w:r>
          </w:p>
          <w:p w:rsidR="00070BA0" w:rsidRPr="00D5531B" w:rsidRDefault="00070BA0" w:rsidP="00070BA0">
            <w:pPr>
              <w:widowControl w:val="0"/>
              <w:shd w:val="clear" w:color="auto" w:fill="FFFFFF"/>
              <w:tabs>
                <w:tab w:val="left" w:pos="284"/>
                <w:tab w:val="left" w:pos="426"/>
                <w:tab w:val="left" w:pos="851"/>
                <w:tab w:val="left" w:pos="1411"/>
              </w:tabs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з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дійснює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звернень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юридичних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осіб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41DCE" w:rsidRPr="00D553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готує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проекти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відповідей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них</w:t>
            </w:r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проводить</w:t>
            </w:r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аналіз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суду з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розгляду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звернень</w:t>
            </w:r>
            <w:proofErr w:type="spellEnd"/>
            <w:r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громадян;</w:t>
            </w:r>
          </w:p>
          <w:p w:rsidR="00070BA0" w:rsidRPr="00D5531B" w:rsidRDefault="00070BA0" w:rsidP="00070BA0">
            <w:pPr>
              <w:widowControl w:val="0"/>
              <w:shd w:val="clear" w:color="auto" w:fill="FFFFFF"/>
              <w:tabs>
                <w:tab w:val="left" w:pos="284"/>
                <w:tab w:val="left" w:pos="426"/>
                <w:tab w:val="left" w:pos="851"/>
                <w:tab w:val="left" w:pos="1411"/>
              </w:tabs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п</w:t>
            </w:r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роводить роботу із здійснення обліку і надання відповідей на запити про доступ до публічної інформації</w:t>
            </w:r>
            <w:r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суду;</w:t>
            </w:r>
          </w:p>
          <w:p w:rsidR="00070BA0" w:rsidRPr="00D5531B" w:rsidRDefault="00070BA0" w:rsidP="00070BA0">
            <w:pPr>
              <w:widowControl w:val="0"/>
              <w:shd w:val="clear" w:color="auto" w:fill="FFFFFF"/>
              <w:tabs>
                <w:tab w:val="left" w:pos="284"/>
                <w:tab w:val="left" w:pos="426"/>
                <w:tab w:val="left" w:pos="851"/>
                <w:tab w:val="left" w:pos="1411"/>
              </w:tabs>
              <w:autoSpaceDE w:val="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Pr="00D5531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>б</w:t>
            </w:r>
            <w:r w:rsidR="00D41DCE" w:rsidRPr="00D553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ере участь у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плануванні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роботи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суду, за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дорученням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голови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суду</w:t>
            </w:r>
            <w:r w:rsidR="00D41DCE" w:rsidRPr="00D5531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або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керівника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апарату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здійснює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контроль за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виконанням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окремих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розділів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val="uk-UA"/>
              </w:rPr>
              <w:t xml:space="preserve"> </w:t>
            </w:r>
            <w:r w:rsidR="00D41DCE" w:rsidRPr="00D553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плану роботу суду</w:t>
            </w:r>
            <w:r w:rsidRPr="00D5531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;</w:t>
            </w:r>
          </w:p>
          <w:p w:rsidR="00070BA0" w:rsidRPr="00D5531B" w:rsidRDefault="00070BA0" w:rsidP="00070BA0">
            <w:pPr>
              <w:widowControl w:val="0"/>
              <w:shd w:val="clear" w:color="auto" w:fill="FFFFFF"/>
              <w:tabs>
                <w:tab w:val="left" w:pos="284"/>
                <w:tab w:val="left" w:pos="426"/>
                <w:tab w:val="left" w:pos="851"/>
                <w:tab w:val="left" w:pos="1411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5531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lastRenderedPageBreak/>
              <w:t>- п</w:t>
            </w:r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рацює в </w:t>
            </w:r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1DCE"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комп'ютерній програмі «Д-3» в межах наданого доступу</w:t>
            </w:r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D41DCE" w:rsidRDefault="00070BA0" w:rsidP="001F6646">
            <w:pPr>
              <w:widowControl w:val="0"/>
              <w:shd w:val="clear" w:color="auto" w:fill="FFFFFF"/>
              <w:tabs>
                <w:tab w:val="left" w:pos="284"/>
                <w:tab w:val="left" w:pos="426"/>
                <w:tab w:val="left" w:pos="851"/>
                <w:tab w:val="left" w:pos="1411"/>
              </w:tabs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5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Pr="00D553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иконує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інші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доручення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голови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суду та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керівника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>апарату</w:t>
            </w:r>
            <w:proofErr w:type="spellEnd"/>
            <w:r w:rsidR="00D41DCE" w:rsidRPr="00D5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суду.</w:t>
            </w:r>
          </w:p>
          <w:p w:rsidR="001F6646" w:rsidRPr="001F6646" w:rsidRDefault="001F6646" w:rsidP="001F6646">
            <w:pPr>
              <w:widowControl w:val="0"/>
              <w:shd w:val="clear" w:color="auto" w:fill="FFFFFF"/>
              <w:tabs>
                <w:tab w:val="left" w:pos="284"/>
                <w:tab w:val="left" w:pos="426"/>
                <w:tab w:val="left" w:pos="851"/>
                <w:tab w:val="left" w:pos="1411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16ECA" w:rsidTr="00D41DCE">
        <w:tc>
          <w:tcPr>
            <w:tcW w:w="2660" w:type="dxa"/>
          </w:tcPr>
          <w:p w:rsidR="00016ECA" w:rsidRPr="00D5531B" w:rsidRDefault="00016E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6911" w:type="dxa"/>
          </w:tcPr>
          <w:p w:rsidR="00016ECA" w:rsidRPr="00D5531B" w:rsidRDefault="00016ECA" w:rsidP="001F664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Посадовий оклад згідно із штатним розписом – 3200 </w:t>
            </w:r>
            <w:proofErr w:type="spellStart"/>
            <w:r w:rsidRPr="00D5531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D553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надбавка за вислугу років на державній службі відповідно до частини першої статті 52 Закону України «Про державну службу» – на рівні 3 відсотків посадового окладу державного службовця за кожний календарний рік стажу державної служби, але не більше 50 відсотків посадового окладу; надбавка до посадового окладу за ранг відповідно до частини першої статті 52 Закону України «Про державну службу»; за наявності достатнього фонду оплати праці премія, інші виплати відповідно до ст. 50 Закону України «Про державну службу». </w:t>
            </w:r>
          </w:p>
        </w:tc>
      </w:tr>
      <w:tr w:rsidR="00016ECA" w:rsidTr="00D41DCE">
        <w:tc>
          <w:tcPr>
            <w:tcW w:w="2660" w:type="dxa"/>
          </w:tcPr>
          <w:p w:rsidR="00016ECA" w:rsidRDefault="00016EC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  <w:p w:rsidR="001F6646" w:rsidRPr="001F6646" w:rsidRDefault="001F6646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11" w:type="dxa"/>
          </w:tcPr>
          <w:p w:rsidR="00016ECA" w:rsidRPr="00D5531B" w:rsidRDefault="00016ECA">
            <w:pPr>
              <w:rPr>
                <w:sz w:val="24"/>
                <w:szCs w:val="24"/>
              </w:rPr>
            </w:pPr>
            <w:r w:rsidRPr="00D5531B">
              <w:rPr>
                <w:rFonts w:ascii="Times New Roman" w:hAnsi="Times New Roman"/>
                <w:sz w:val="24"/>
                <w:szCs w:val="24"/>
                <w:lang w:val="uk-UA"/>
              </w:rPr>
              <w:t>безстрокове призначення на посаду</w:t>
            </w:r>
          </w:p>
        </w:tc>
      </w:tr>
      <w:tr w:rsidR="00016ECA" w:rsidTr="00D41DCE">
        <w:tc>
          <w:tcPr>
            <w:tcW w:w="2660" w:type="dxa"/>
          </w:tcPr>
          <w:p w:rsidR="00016ECA" w:rsidRPr="00D5531B" w:rsidRDefault="00016ECA">
            <w:pPr>
              <w:rPr>
                <w:b/>
                <w:sz w:val="24"/>
                <w:szCs w:val="24"/>
              </w:rPr>
            </w:pPr>
            <w:r w:rsidRPr="00D553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911" w:type="dxa"/>
          </w:tcPr>
          <w:p w:rsidR="00016ECA" w:rsidRPr="00D5531B" w:rsidRDefault="00016ECA" w:rsidP="00016ECA">
            <w:pPr>
              <w:numPr>
                <w:ilvl w:val="0"/>
                <w:numId w:val="1"/>
              </w:numPr>
              <w:tabs>
                <w:tab w:val="left" w:pos="41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/>
                <w:sz w:val="24"/>
                <w:szCs w:val="24"/>
                <w:lang w:val="uk-UA"/>
              </w:rPr>
              <w:t>копія паспорту громадянина України;</w:t>
            </w:r>
          </w:p>
          <w:p w:rsidR="00016ECA" w:rsidRPr="00D5531B" w:rsidRDefault="00016ECA" w:rsidP="00016ECA">
            <w:pPr>
              <w:numPr>
                <w:ilvl w:val="0"/>
                <w:numId w:val="1"/>
              </w:numPr>
              <w:tabs>
                <w:tab w:val="left" w:pos="411"/>
              </w:tabs>
              <w:ind w:left="0" w:right="127" w:hanging="1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/>
                <w:sz w:val="24"/>
                <w:szCs w:val="24"/>
                <w:lang w:val="uk-UA"/>
              </w:rPr>
              <w:t>письмов</w:t>
            </w:r>
            <w:r w:rsidR="00F428E0" w:rsidRPr="00D5531B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D553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заява про участь у конкурсі із зазначенням основних мотивів щодо зайняття посади державної служби, до якої додається резюме у довільній формі;</w:t>
            </w:r>
          </w:p>
          <w:p w:rsidR="00016ECA" w:rsidRPr="00D5531B" w:rsidRDefault="00016ECA" w:rsidP="00016ECA">
            <w:pPr>
              <w:numPr>
                <w:ilvl w:val="0"/>
                <w:numId w:val="1"/>
              </w:numPr>
              <w:tabs>
                <w:tab w:val="left" w:pos="411"/>
              </w:tabs>
              <w:ind w:left="0" w:right="127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/>
                <w:sz w:val="24"/>
                <w:szCs w:val="24"/>
                <w:lang w:val="uk-UA"/>
              </w:rPr>
              <w:t>письмов</w:t>
            </w:r>
            <w:r w:rsidR="00F428E0" w:rsidRPr="00D5531B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D553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заява, в якій повідомляється, що до особи не застосовуються заборони, визначені частиною третьою або четвертою статті 1 Закону України «Про очищення влади», з наданням згоди на проходження перевірки та на оприлюднення відомостей стосовно неї, відповідно до зазначеного Закону (додаток 1 до</w:t>
            </w:r>
            <w:r w:rsidR="00F428E0" w:rsidRPr="00D553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Порядку проведення перевірки затвердженого постановою Кабінету Міністрів України від 25 березня 2015 року № 167) або копію довідки встановленої форми про результати такої перевірки (додаток 5 до того ж Порядку)</w:t>
            </w:r>
            <w:r w:rsidRPr="00D553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;</w:t>
            </w:r>
          </w:p>
          <w:p w:rsidR="00016ECA" w:rsidRPr="00D5531B" w:rsidRDefault="00016ECA" w:rsidP="00016ECA">
            <w:pPr>
              <w:numPr>
                <w:ilvl w:val="0"/>
                <w:numId w:val="1"/>
              </w:numPr>
              <w:tabs>
                <w:tab w:val="left" w:pos="411"/>
              </w:tabs>
              <w:ind w:left="0" w:right="127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/>
                <w:sz w:val="24"/>
                <w:szCs w:val="24"/>
                <w:lang w:val="uk-UA"/>
              </w:rPr>
              <w:t>копі</w:t>
            </w:r>
            <w:r w:rsidR="00F428E0" w:rsidRPr="00D5531B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D553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(копії) документів про освіту;</w:t>
            </w:r>
          </w:p>
          <w:p w:rsidR="00016ECA" w:rsidRPr="00D5531B" w:rsidRDefault="00016ECA" w:rsidP="00016ECA">
            <w:pPr>
              <w:numPr>
                <w:ilvl w:val="0"/>
                <w:numId w:val="1"/>
              </w:numPr>
              <w:tabs>
                <w:tab w:val="left" w:pos="411"/>
              </w:tabs>
              <w:ind w:left="0" w:right="127" w:hanging="1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/>
                <w:sz w:val="24"/>
                <w:szCs w:val="24"/>
                <w:lang w:val="uk-UA"/>
              </w:rPr>
              <w:t>посвідчення атестації щодо вільного володіння державною мовою;</w:t>
            </w:r>
          </w:p>
          <w:p w:rsidR="00016ECA" w:rsidRPr="00D5531B" w:rsidRDefault="00016ECA" w:rsidP="00016ECA">
            <w:pPr>
              <w:numPr>
                <w:ilvl w:val="0"/>
                <w:numId w:val="1"/>
              </w:numPr>
              <w:tabs>
                <w:tab w:val="left" w:pos="411"/>
              </w:tabs>
              <w:ind w:left="0" w:right="127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/>
                <w:sz w:val="24"/>
                <w:szCs w:val="24"/>
                <w:lang w:val="uk-UA"/>
              </w:rPr>
              <w:t>заповнен</w:t>
            </w:r>
            <w:r w:rsidR="00F428E0" w:rsidRPr="00D5531B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D553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особов</w:t>
            </w:r>
            <w:r w:rsidR="00F36637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D553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картк</w:t>
            </w:r>
            <w:r w:rsidR="00F36637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D553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встановленого зразка;</w:t>
            </w:r>
          </w:p>
          <w:p w:rsidR="00F428E0" w:rsidRDefault="00016ECA" w:rsidP="00F428E0">
            <w:pPr>
              <w:numPr>
                <w:ilvl w:val="0"/>
                <w:numId w:val="1"/>
              </w:numPr>
              <w:tabs>
                <w:tab w:val="left" w:pos="411"/>
              </w:tabs>
              <w:ind w:left="0" w:right="127" w:hanging="1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/>
                <w:sz w:val="24"/>
                <w:szCs w:val="24"/>
                <w:lang w:val="uk-UA"/>
              </w:rPr>
              <w:t>декларація особи, уповноваженої на виконання функцій держави або місцевого самоврядування, за 201</w:t>
            </w:r>
            <w:r w:rsidR="00F428E0" w:rsidRPr="00D5531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D553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  <w:r w:rsidR="00F428E0" w:rsidRPr="00D5531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9D37DA" w:rsidRPr="00D5531B" w:rsidRDefault="009D37DA" w:rsidP="009D37DA">
            <w:pPr>
              <w:tabs>
                <w:tab w:val="left" w:pos="411"/>
              </w:tabs>
              <w:ind w:right="1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16ECA" w:rsidRDefault="009D37DA" w:rsidP="009D37DA">
            <w:pPr>
              <w:tabs>
                <w:tab w:val="left" w:pos="411"/>
              </w:tabs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D37DA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9D3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7DA">
              <w:rPr>
                <w:rFonts w:ascii="Times New Roman" w:hAnsi="Times New Roman" w:cs="Times New Roman"/>
                <w:sz w:val="24"/>
                <w:szCs w:val="24"/>
              </w:rPr>
              <w:t>приймаються</w:t>
            </w:r>
            <w:proofErr w:type="spellEnd"/>
            <w:r w:rsidRPr="009D37DA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1F6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D37DA">
              <w:rPr>
                <w:rFonts w:ascii="Times New Roman" w:hAnsi="Times New Roman" w:cs="Times New Roman"/>
                <w:sz w:val="24"/>
                <w:szCs w:val="24"/>
              </w:rPr>
              <w:t xml:space="preserve"> год. 00 </w:t>
            </w:r>
            <w:proofErr w:type="spellStart"/>
            <w:r w:rsidRPr="009D37DA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9D3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F6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9D3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7DA">
              <w:rPr>
                <w:rFonts w:ascii="Times New Roman" w:hAnsi="Times New Roman" w:cs="Times New Roman"/>
                <w:sz w:val="24"/>
                <w:szCs w:val="24"/>
              </w:rPr>
              <w:t>липня</w:t>
            </w:r>
            <w:proofErr w:type="spellEnd"/>
            <w:r w:rsidRPr="009D37DA">
              <w:rPr>
                <w:rFonts w:ascii="Times New Roman" w:hAnsi="Times New Roman" w:cs="Times New Roman"/>
                <w:sz w:val="24"/>
                <w:szCs w:val="24"/>
              </w:rPr>
              <w:t xml:space="preserve"> 2017 року </w:t>
            </w:r>
            <w:proofErr w:type="spellStart"/>
            <w:r w:rsidRPr="009D37DA">
              <w:rPr>
                <w:rFonts w:ascii="Times New Roman" w:hAnsi="Times New Roman" w:cs="Times New Roman"/>
                <w:sz w:val="24"/>
                <w:szCs w:val="24"/>
              </w:rPr>
              <w:t>включно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D3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646" w:rsidRPr="001F6646" w:rsidRDefault="001F6646" w:rsidP="009D37DA">
            <w:pPr>
              <w:tabs>
                <w:tab w:val="left" w:pos="411"/>
              </w:tabs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6ECA" w:rsidTr="00D41DCE">
        <w:tc>
          <w:tcPr>
            <w:tcW w:w="2660" w:type="dxa"/>
          </w:tcPr>
          <w:p w:rsidR="00016ECA" w:rsidRPr="00D5531B" w:rsidRDefault="004A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3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Дата, час і місце проведення конкурсу</w:t>
            </w:r>
          </w:p>
        </w:tc>
        <w:tc>
          <w:tcPr>
            <w:tcW w:w="6911" w:type="dxa"/>
          </w:tcPr>
          <w:p w:rsidR="00016ECA" w:rsidRDefault="009D37DA" w:rsidP="001F6646">
            <w:pPr>
              <w:tabs>
                <w:tab w:val="left" w:pos="411"/>
              </w:tabs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1</w:t>
            </w:r>
            <w:r w:rsidR="001F664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3</w:t>
            </w:r>
            <w:r w:rsidR="004A0770" w:rsidRPr="00D5531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ли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пня</w:t>
            </w:r>
            <w:r w:rsidR="004A0770" w:rsidRPr="00D5531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201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7</w:t>
            </w:r>
            <w:r w:rsidR="004A0770" w:rsidRPr="00D5531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року о 10 </w:t>
            </w:r>
            <w:proofErr w:type="spellStart"/>
            <w:r w:rsidR="004A0770" w:rsidRPr="00D5531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год</w:t>
            </w:r>
            <w:proofErr w:type="spellEnd"/>
            <w:r w:rsidR="004A0770" w:rsidRPr="00D5531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00 хв., </w:t>
            </w:r>
            <w:proofErr w:type="spellStart"/>
            <w:r w:rsidR="004A0770" w:rsidRPr="00D5531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каб</w:t>
            </w:r>
            <w:proofErr w:type="spellEnd"/>
            <w:r w:rsidR="004A0770" w:rsidRPr="00D5531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. № 2 (1 поверх) Липоводолинський районний суд, вул.</w:t>
            </w:r>
            <w:r w:rsidR="001F664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4A0770" w:rsidRPr="00D5531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Роменська, 6, </w:t>
            </w:r>
            <w:proofErr w:type="spellStart"/>
            <w:r w:rsidR="004A0770" w:rsidRPr="00D5531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смт</w:t>
            </w:r>
            <w:proofErr w:type="spellEnd"/>
            <w:r w:rsidR="004A0770" w:rsidRPr="00D5531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Липова Долина, Сумська  область</w:t>
            </w:r>
          </w:p>
          <w:p w:rsidR="001F6646" w:rsidRPr="00D5531B" w:rsidRDefault="001F6646" w:rsidP="001F6646">
            <w:pPr>
              <w:tabs>
                <w:tab w:val="left" w:pos="411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16ECA" w:rsidTr="00D41DCE">
        <w:tc>
          <w:tcPr>
            <w:tcW w:w="2660" w:type="dxa"/>
          </w:tcPr>
          <w:p w:rsidR="00016ECA" w:rsidRPr="00D5531B" w:rsidRDefault="004A0770">
            <w:pPr>
              <w:rPr>
                <w:b/>
                <w:sz w:val="24"/>
                <w:szCs w:val="24"/>
              </w:rPr>
            </w:pPr>
            <w:r w:rsidRPr="00D553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 w:rsidRPr="00D553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проведення конкурсу</w:t>
            </w:r>
          </w:p>
        </w:tc>
        <w:tc>
          <w:tcPr>
            <w:tcW w:w="6911" w:type="dxa"/>
          </w:tcPr>
          <w:p w:rsidR="004A0770" w:rsidRPr="009D37DA" w:rsidRDefault="00806F65" w:rsidP="004A0770">
            <w:pP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lastRenderedPageBreak/>
              <w:t>Наумко Наталія Іванівна</w:t>
            </w:r>
          </w:p>
          <w:p w:rsidR="004A0770" w:rsidRPr="00D5531B" w:rsidRDefault="004A0770" w:rsidP="004A07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/>
                <w:sz w:val="24"/>
                <w:szCs w:val="24"/>
                <w:lang w:val="uk-UA"/>
              </w:rPr>
              <w:t>тел. (05452) 5-16-89, 5-15-89</w:t>
            </w:r>
          </w:p>
          <w:p w:rsidR="004A0770" w:rsidRPr="00D5531B" w:rsidRDefault="00E35D96" w:rsidP="004A0770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6" w:history="1">
              <w:r w:rsidR="004A0770" w:rsidRPr="00D5531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="004A0770" w:rsidRPr="00D5531B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@</w:t>
              </w:r>
              <w:r w:rsidR="004A0770" w:rsidRPr="00D5531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lv</w:t>
              </w:r>
              <w:r w:rsidR="004A0770" w:rsidRPr="00D5531B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4A0770" w:rsidRPr="00D5531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  <w:proofErr w:type="spellEnd"/>
              <w:r w:rsidR="004A0770" w:rsidRPr="00D5531B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4A0770" w:rsidRPr="00D5531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court</w:t>
              </w:r>
              <w:r w:rsidR="004A0770" w:rsidRPr="00D5531B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4A0770" w:rsidRPr="00D5531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4A0770" w:rsidRPr="00D5531B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4A0770" w:rsidRPr="00D5531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4A0770" w:rsidRPr="00D5531B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uk-UA"/>
              </w:rPr>
              <w:t xml:space="preserve">  (електронна адреса суду)</w:t>
            </w:r>
          </w:p>
          <w:p w:rsidR="00016ECA" w:rsidRPr="00D5531B" w:rsidRDefault="00016ECA">
            <w:pPr>
              <w:rPr>
                <w:sz w:val="24"/>
                <w:szCs w:val="24"/>
              </w:rPr>
            </w:pPr>
          </w:p>
        </w:tc>
      </w:tr>
      <w:tr w:rsidR="00D5531B" w:rsidTr="00316099">
        <w:tc>
          <w:tcPr>
            <w:tcW w:w="9571" w:type="dxa"/>
            <w:gridSpan w:val="2"/>
          </w:tcPr>
          <w:p w:rsidR="00C341FE" w:rsidRDefault="00C341FE" w:rsidP="00D55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5531B" w:rsidRDefault="00D5531B" w:rsidP="00D55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Вимоги до професійної компетентності</w:t>
            </w:r>
          </w:p>
          <w:p w:rsidR="00C341FE" w:rsidRPr="00D5531B" w:rsidRDefault="00C341FE" w:rsidP="00D55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41FE" w:rsidTr="00316099">
        <w:tc>
          <w:tcPr>
            <w:tcW w:w="9571" w:type="dxa"/>
            <w:gridSpan w:val="2"/>
          </w:tcPr>
          <w:p w:rsidR="00C341FE" w:rsidRDefault="00C341FE" w:rsidP="00D55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Загальні вимоги</w:t>
            </w:r>
          </w:p>
        </w:tc>
      </w:tr>
      <w:tr w:rsidR="00D5531B" w:rsidRPr="00D5531B" w:rsidTr="00D41DCE">
        <w:tc>
          <w:tcPr>
            <w:tcW w:w="2660" w:type="dxa"/>
          </w:tcPr>
          <w:p w:rsidR="00D5531B" w:rsidRPr="00D5531B" w:rsidRDefault="00D553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Освіта </w:t>
            </w:r>
          </w:p>
        </w:tc>
        <w:tc>
          <w:tcPr>
            <w:tcW w:w="6911" w:type="dxa"/>
          </w:tcPr>
          <w:p w:rsidR="00D5531B" w:rsidRPr="00D5531B" w:rsidRDefault="00B42A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5531B" w:rsidRPr="00D55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ища, не нижче ступеня молодшого бакалавра або бакалавра</w:t>
            </w:r>
          </w:p>
        </w:tc>
      </w:tr>
      <w:tr w:rsidR="00D5531B" w:rsidRPr="00D5531B" w:rsidTr="00D41DCE">
        <w:tc>
          <w:tcPr>
            <w:tcW w:w="2660" w:type="dxa"/>
          </w:tcPr>
          <w:p w:rsidR="00D5531B" w:rsidRPr="00D5531B" w:rsidRDefault="00D553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Досвід роботи </w:t>
            </w:r>
          </w:p>
        </w:tc>
        <w:tc>
          <w:tcPr>
            <w:tcW w:w="6911" w:type="dxa"/>
          </w:tcPr>
          <w:p w:rsidR="00D5531B" w:rsidRPr="00D5531B" w:rsidRDefault="00B42A8A" w:rsidP="00D553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D55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потребує</w:t>
            </w:r>
          </w:p>
        </w:tc>
      </w:tr>
      <w:tr w:rsidR="00D5531B" w:rsidRPr="00D5531B" w:rsidTr="00D41DCE">
        <w:tc>
          <w:tcPr>
            <w:tcW w:w="2660" w:type="dxa"/>
          </w:tcPr>
          <w:p w:rsidR="00D5531B" w:rsidRPr="00D5531B" w:rsidRDefault="00D5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3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Володіння державною 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вою</w:t>
            </w:r>
          </w:p>
        </w:tc>
        <w:tc>
          <w:tcPr>
            <w:tcW w:w="6911" w:type="dxa"/>
          </w:tcPr>
          <w:p w:rsidR="00D5531B" w:rsidRPr="00D5531B" w:rsidRDefault="00B42A8A" w:rsidP="00D553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5531B" w:rsidRPr="00D55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ільне володіння державною мовою</w:t>
            </w:r>
          </w:p>
        </w:tc>
      </w:tr>
      <w:tr w:rsidR="00D5531B" w:rsidTr="00627218">
        <w:tc>
          <w:tcPr>
            <w:tcW w:w="9571" w:type="dxa"/>
            <w:gridSpan w:val="2"/>
          </w:tcPr>
          <w:p w:rsidR="00D5531B" w:rsidRPr="00D5531B" w:rsidRDefault="00D5531B" w:rsidP="00D55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5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D5531B" w:rsidTr="00D41DCE">
        <w:tc>
          <w:tcPr>
            <w:tcW w:w="2660" w:type="dxa"/>
          </w:tcPr>
          <w:p w:rsidR="00D5531B" w:rsidRPr="00C341FE" w:rsidRDefault="00D5531B">
            <w:pPr>
              <w:rPr>
                <w:b/>
              </w:rPr>
            </w:pPr>
            <w:r w:rsidRPr="00C341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Освіта за галуззю знань (спеціальність)</w:t>
            </w:r>
          </w:p>
        </w:tc>
        <w:tc>
          <w:tcPr>
            <w:tcW w:w="6911" w:type="dxa"/>
          </w:tcPr>
          <w:p w:rsidR="00D5531B" w:rsidRDefault="00B42A8A" w:rsidP="00D5531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D553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пеціальність «Правознавство» або «Правоохоронна діяльність» </w:t>
            </w:r>
          </w:p>
          <w:p w:rsidR="00D5531B" w:rsidRDefault="00D5531B"/>
        </w:tc>
      </w:tr>
      <w:tr w:rsidR="00D5531B" w:rsidTr="00D41DCE">
        <w:tc>
          <w:tcPr>
            <w:tcW w:w="2660" w:type="dxa"/>
          </w:tcPr>
          <w:p w:rsidR="00D5531B" w:rsidRPr="00C341FE" w:rsidRDefault="00D5531B">
            <w:pPr>
              <w:rPr>
                <w:b/>
              </w:rPr>
            </w:pPr>
            <w:r w:rsidRPr="00C341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6911" w:type="dxa"/>
          </w:tcPr>
          <w:p w:rsidR="00D5531B" w:rsidRPr="00C341FE" w:rsidRDefault="00D5531B" w:rsidP="00CB532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D4E">
              <w:rPr>
                <w:rFonts w:ascii="Times New Roman" w:hAnsi="Times New Roman"/>
                <w:sz w:val="24"/>
                <w:szCs w:val="24"/>
                <w:lang w:val="uk-UA"/>
              </w:rPr>
              <w:t>Конституція України,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акони України</w:t>
            </w:r>
            <w:r w:rsidRPr="00F61D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«Про судоустрій і статус суддів», </w:t>
            </w:r>
            <w:r w:rsidRPr="00F61D4E">
              <w:rPr>
                <w:rFonts w:ascii="Times New Roman" w:hAnsi="Times New Roman"/>
                <w:sz w:val="24"/>
                <w:szCs w:val="24"/>
                <w:lang w:val="uk-UA"/>
              </w:rPr>
              <w:t>«Про державну службу»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«Про запобігання корупції», </w:t>
            </w:r>
            <w:r w:rsidR="00E01F2C">
              <w:rPr>
                <w:rFonts w:ascii="Times New Roman" w:hAnsi="Times New Roman"/>
                <w:sz w:val="24"/>
                <w:szCs w:val="24"/>
                <w:lang w:val="uk-UA"/>
              </w:rPr>
              <w:t>«Про очищення влади», «Про звернення громадян»,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«Про доступ до публічної інформації», Цивільний процесуальний кодекс України, Кримінальний процесуальний кодекс України, Кодекс адміністративного судочинства, Кодекс України про </w:t>
            </w:r>
            <w:r w:rsidR="00B42A8A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адміністративні правопорушення.</w:t>
            </w:r>
          </w:p>
        </w:tc>
      </w:tr>
      <w:tr w:rsidR="00D5531B" w:rsidTr="00D41DCE">
        <w:tc>
          <w:tcPr>
            <w:tcW w:w="2660" w:type="dxa"/>
          </w:tcPr>
          <w:p w:rsidR="00D5531B" w:rsidRPr="00C341FE" w:rsidRDefault="00C341FE">
            <w:pPr>
              <w:rPr>
                <w:b/>
              </w:rPr>
            </w:pPr>
            <w:r w:rsidRPr="00C341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Професійні чи технічні знання</w:t>
            </w:r>
          </w:p>
        </w:tc>
        <w:tc>
          <w:tcPr>
            <w:tcW w:w="6911" w:type="dxa"/>
          </w:tcPr>
          <w:p w:rsidR="00D5531B" w:rsidRPr="00C341FE" w:rsidRDefault="00CB5328" w:rsidP="0077334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10E">
              <w:rPr>
                <w:rFonts w:ascii="Times New Roman" w:hAnsi="Times New Roman"/>
                <w:sz w:val="24"/>
                <w:szCs w:val="24"/>
                <w:lang w:val="uk-UA"/>
              </w:rPr>
              <w:t>Інструкці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9531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діловодства у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затверджена наказом ДСА України 17 грудня </w:t>
            </w:r>
            <w:r w:rsidR="00F570C0">
              <w:rPr>
                <w:rFonts w:ascii="Times New Roman" w:hAnsi="Times New Roman"/>
                <w:sz w:val="24"/>
                <w:szCs w:val="24"/>
                <w:lang w:val="uk-UA"/>
              </w:rPr>
              <w:t>2013 року № 173</w:t>
            </w:r>
            <w:r w:rsidR="00B42A8A">
              <w:rPr>
                <w:rFonts w:ascii="Times New Roman" w:hAnsi="Times New Roman"/>
                <w:sz w:val="24"/>
                <w:szCs w:val="24"/>
                <w:lang w:val="uk-UA"/>
              </w:rPr>
              <w:t>, Положення про автоматизов</w:t>
            </w:r>
            <w:r w:rsidR="00803922">
              <w:rPr>
                <w:rFonts w:ascii="Times New Roman" w:hAnsi="Times New Roman"/>
                <w:sz w:val="24"/>
                <w:szCs w:val="24"/>
                <w:lang w:val="uk-UA"/>
              </w:rPr>
              <w:t>ану систему докумен</w:t>
            </w:r>
            <w:r w:rsidR="0077334C">
              <w:rPr>
                <w:rFonts w:ascii="Times New Roman" w:hAnsi="Times New Roman"/>
                <w:sz w:val="24"/>
                <w:szCs w:val="24"/>
                <w:lang w:val="uk-UA"/>
              </w:rPr>
              <w:t>тообігу суду від 26 листопада 2010 року «30 із змінами і доповненнями від 15 вересня 2016 року.</w:t>
            </w:r>
          </w:p>
        </w:tc>
      </w:tr>
      <w:tr w:rsidR="00D5531B" w:rsidTr="00CB5328">
        <w:trPr>
          <w:trHeight w:val="868"/>
        </w:trPr>
        <w:tc>
          <w:tcPr>
            <w:tcW w:w="2660" w:type="dxa"/>
          </w:tcPr>
          <w:p w:rsidR="00D5531B" w:rsidRPr="00C341FE" w:rsidRDefault="00C341FE">
            <w:pPr>
              <w:rPr>
                <w:b/>
              </w:rPr>
            </w:pPr>
            <w:r w:rsidRPr="00C341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Якісне виконання поставлених завдань</w:t>
            </w:r>
          </w:p>
        </w:tc>
        <w:tc>
          <w:tcPr>
            <w:tcW w:w="6911" w:type="dxa"/>
          </w:tcPr>
          <w:p w:rsidR="00B42A8A" w:rsidRDefault="00B42A8A" w:rsidP="00B42A8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вміння працювати з документами;</w:t>
            </w:r>
          </w:p>
          <w:p w:rsidR="00B42A8A" w:rsidRDefault="00B42A8A" w:rsidP="00B42A8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A8A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C341FE" w:rsidRPr="00B42A8A">
              <w:rPr>
                <w:rFonts w:ascii="Times New Roman" w:hAnsi="Times New Roman"/>
                <w:sz w:val="24"/>
                <w:szCs w:val="24"/>
                <w:lang w:val="uk-UA"/>
              </w:rPr>
              <w:t>міння аналізувати інформацію, вміння шв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идко опрацювати нову інформацію;</w:t>
            </w:r>
            <w:r w:rsidR="00C341FE" w:rsidRPr="00B42A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42A8A" w:rsidRDefault="00C341FE" w:rsidP="00B42A8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A8A">
              <w:rPr>
                <w:rFonts w:ascii="Times New Roman" w:hAnsi="Times New Roman"/>
                <w:sz w:val="24"/>
                <w:szCs w:val="24"/>
                <w:lang w:val="uk-UA"/>
              </w:rPr>
              <w:t>вміння у різний спосіб (логічний, предметний і т.д.) систематизувати опрацьований матеріал</w:t>
            </w:r>
            <w:r w:rsidR="00B42A8A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42A8A" w:rsidRDefault="00B42A8A" w:rsidP="00B42A8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вміння планувати роботу з орієнтацією на досягнення кінцевого результату;</w:t>
            </w:r>
          </w:p>
          <w:p w:rsidR="00D5531B" w:rsidRPr="00B42A8A" w:rsidRDefault="00B42A8A" w:rsidP="004B72D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вміння ефективно використовувати робочий час.</w:t>
            </w:r>
            <w:r w:rsidR="00C341FE" w:rsidRPr="00B42A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341FE" w:rsidTr="00D41DCE">
        <w:tc>
          <w:tcPr>
            <w:tcW w:w="2660" w:type="dxa"/>
          </w:tcPr>
          <w:p w:rsidR="00C341FE" w:rsidRPr="00CB5328" w:rsidRDefault="00CB532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53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Командна робота та взаємодія</w:t>
            </w:r>
          </w:p>
        </w:tc>
        <w:tc>
          <w:tcPr>
            <w:tcW w:w="6911" w:type="dxa"/>
          </w:tcPr>
          <w:p w:rsidR="00B42A8A" w:rsidRDefault="00B42A8A" w:rsidP="00B42A8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A8A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CB5328" w:rsidRPr="00B42A8A">
              <w:rPr>
                <w:rFonts w:ascii="Times New Roman" w:hAnsi="Times New Roman"/>
                <w:sz w:val="24"/>
                <w:szCs w:val="24"/>
                <w:lang w:val="uk-UA"/>
              </w:rPr>
              <w:t>міння працювати в ко</w:t>
            </w:r>
            <w:r w:rsidRPr="00B42A8A">
              <w:rPr>
                <w:rFonts w:ascii="Times New Roman" w:hAnsi="Times New Roman"/>
                <w:sz w:val="24"/>
                <w:szCs w:val="24"/>
                <w:lang w:val="uk-UA"/>
              </w:rPr>
              <w:t>лективі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341FE" w:rsidRPr="00B42A8A" w:rsidRDefault="00E35D96" w:rsidP="00B42A8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вміння </w:t>
            </w:r>
            <w:r w:rsidR="00B42A8A">
              <w:rPr>
                <w:rFonts w:ascii="Times New Roman" w:hAnsi="Times New Roman"/>
                <w:sz w:val="24"/>
                <w:szCs w:val="24"/>
                <w:lang w:val="uk-UA"/>
              </w:rPr>
              <w:t>ефективної координації з іншим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B42A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42A8A" w:rsidTr="00D41DCE">
        <w:tc>
          <w:tcPr>
            <w:tcW w:w="2660" w:type="dxa"/>
          </w:tcPr>
          <w:p w:rsidR="00B42A8A" w:rsidRPr="00CB5328" w:rsidRDefault="00B42A8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Технічні вміння</w:t>
            </w:r>
          </w:p>
        </w:tc>
        <w:tc>
          <w:tcPr>
            <w:tcW w:w="6911" w:type="dxa"/>
          </w:tcPr>
          <w:p w:rsidR="00B42A8A" w:rsidRDefault="00803922" w:rsidP="004B72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42A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міння використовувати комп’ютерне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обладнання та програмне забезпечення, використовувати офісну техніку</w:t>
            </w:r>
            <w:r w:rsidR="004B72D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341FE" w:rsidTr="00D41DCE">
        <w:tc>
          <w:tcPr>
            <w:tcW w:w="2660" w:type="dxa"/>
          </w:tcPr>
          <w:p w:rsidR="00C341FE" w:rsidRPr="00CB5328" w:rsidRDefault="00CB532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532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/>
              </w:rPr>
              <w:t>Застереження</w:t>
            </w:r>
          </w:p>
        </w:tc>
        <w:tc>
          <w:tcPr>
            <w:tcW w:w="6911" w:type="dxa"/>
          </w:tcPr>
          <w:p w:rsidR="00C341FE" w:rsidRPr="00CB5328" w:rsidRDefault="00CB5328" w:rsidP="00C341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3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Можлива робота понад установлену тривалість робочого дня, а також  у вихідні, святкові та неробочі дні, що передбачено ст. 56 Закону України «Про державну службу». За роботу у зазначені дні (час) державним службовцям надаються дні відпочинку.</w:t>
            </w:r>
          </w:p>
        </w:tc>
      </w:tr>
      <w:tr w:rsidR="00803922" w:rsidTr="00D41DCE">
        <w:tc>
          <w:tcPr>
            <w:tcW w:w="2660" w:type="dxa"/>
          </w:tcPr>
          <w:p w:rsidR="00803922" w:rsidRPr="00CB5328" w:rsidRDefault="00803922" w:rsidP="002353B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53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Особистісні якості</w:t>
            </w:r>
          </w:p>
        </w:tc>
        <w:tc>
          <w:tcPr>
            <w:tcW w:w="6911" w:type="dxa"/>
          </w:tcPr>
          <w:p w:rsidR="00803922" w:rsidRDefault="00803922" w:rsidP="002353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61D4E">
              <w:rPr>
                <w:rFonts w:ascii="Times New Roman" w:hAnsi="Times New Roman"/>
                <w:sz w:val="24"/>
                <w:szCs w:val="24"/>
                <w:lang w:val="uk-UA"/>
              </w:rPr>
              <w:t>ідповідальність, системність і самостійність в роботі, уважність до деталей, наполегливість, креативність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ініціативність, орієнтація н</w:t>
            </w:r>
            <w:r w:rsidRPr="00F61D4E">
              <w:rPr>
                <w:rFonts w:ascii="Times New Roman" w:hAnsi="Times New Roman"/>
                <w:sz w:val="24"/>
                <w:szCs w:val="24"/>
                <w:lang w:val="uk-UA"/>
              </w:rPr>
              <w:t>а саморозвиток, вміння працювати в стресових ситуаціях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прагнення до підвищення професійного рівня</w:t>
            </w:r>
            <w:r w:rsidR="00E35D9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</w:tc>
      </w:tr>
    </w:tbl>
    <w:p w:rsidR="00DE334C" w:rsidRDefault="00DE334C"/>
    <w:sectPr w:rsidR="00DE334C" w:rsidSect="00574A5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F0C16"/>
    <w:multiLevelType w:val="hybridMultilevel"/>
    <w:tmpl w:val="F5BE0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E39A5"/>
    <w:multiLevelType w:val="hybridMultilevel"/>
    <w:tmpl w:val="72D4959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C13D0"/>
    <w:multiLevelType w:val="hybridMultilevel"/>
    <w:tmpl w:val="BCB4B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07"/>
    <w:rsid w:val="00002084"/>
    <w:rsid w:val="00013ACE"/>
    <w:rsid w:val="00016ECA"/>
    <w:rsid w:val="00021C1C"/>
    <w:rsid w:val="00022067"/>
    <w:rsid w:val="0002386F"/>
    <w:rsid w:val="000255BF"/>
    <w:rsid w:val="00025AA6"/>
    <w:rsid w:val="00031551"/>
    <w:rsid w:val="000330A7"/>
    <w:rsid w:val="000369AD"/>
    <w:rsid w:val="0004164B"/>
    <w:rsid w:val="00047F6C"/>
    <w:rsid w:val="00070BA0"/>
    <w:rsid w:val="00071D22"/>
    <w:rsid w:val="000748BB"/>
    <w:rsid w:val="0007537F"/>
    <w:rsid w:val="000857AF"/>
    <w:rsid w:val="0009223F"/>
    <w:rsid w:val="000A648D"/>
    <w:rsid w:val="000A6C9D"/>
    <w:rsid w:val="000A76BA"/>
    <w:rsid w:val="000C05AC"/>
    <w:rsid w:val="000C4F53"/>
    <w:rsid w:val="000D4B3A"/>
    <w:rsid w:val="000D5342"/>
    <w:rsid w:val="000D54EF"/>
    <w:rsid w:val="000D6DB5"/>
    <w:rsid w:val="000E153B"/>
    <w:rsid w:val="000E534D"/>
    <w:rsid w:val="000F496A"/>
    <w:rsid w:val="00100B9D"/>
    <w:rsid w:val="00107158"/>
    <w:rsid w:val="00110508"/>
    <w:rsid w:val="001157FD"/>
    <w:rsid w:val="0011773C"/>
    <w:rsid w:val="00142A69"/>
    <w:rsid w:val="00147DAA"/>
    <w:rsid w:val="0015230F"/>
    <w:rsid w:val="00154361"/>
    <w:rsid w:val="00164FE7"/>
    <w:rsid w:val="00165D93"/>
    <w:rsid w:val="00171915"/>
    <w:rsid w:val="00176AC3"/>
    <w:rsid w:val="001857EC"/>
    <w:rsid w:val="001924A6"/>
    <w:rsid w:val="001C389C"/>
    <w:rsid w:val="001C5ADE"/>
    <w:rsid w:val="001D0579"/>
    <w:rsid w:val="001D4A68"/>
    <w:rsid w:val="001D540E"/>
    <w:rsid w:val="001D7D09"/>
    <w:rsid w:val="001E66EB"/>
    <w:rsid w:val="001F1E01"/>
    <w:rsid w:val="001F6646"/>
    <w:rsid w:val="00201DAA"/>
    <w:rsid w:val="00213510"/>
    <w:rsid w:val="00231BA6"/>
    <w:rsid w:val="002413D8"/>
    <w:rsid w:val="00245ADD"/>
    <w:rsid w:val="0025015F"/>
    <w:rsid w:val="0027771F"/>
    <w:rsid w:val="00277EF7"/>
    <w:rsid w:val="002942D3"/>
    <w:rsid w:val="00294EC1"/>
    <w:rsid w:val="002A1484"/>
    <w:rsid w:val="002A3D7F"/>
    <w:rsid w:val="002B0E44"/>
    <w:rsid w:val="002C0424"/>
    <w:rsid w:val="002C0665"/>
    <w:rsid w:val="002C2B2C"/>
    <w:rsid w:val="002C64A9"/>
    <w:rsid w:val="002D76B2"/>
    <w:rsid w:val="002E4C7F"/>
    <w:rsid w:val="002E550A"/>
    <w:rsid w:val="002E5550"/>
    <w:rsid w:val="002F33D0"/>
    <w:rsid w:val="002F47D5"/>
    <w:rsid w:val="002F4C29"/>
    <w:rsid w:val="002F7173"/>
    <w:rsid w:val="0030182D"/>
    <w:rsid w:val="00311CA9"/>
    <w:rsid w:val="00321C6F"/>
    <w:rsid w:val="003220A9"/>
    <w:rsid w:val="00324643"/>
    <w:rsid w:val="00326C6C"/>
    <w:rsid w:val="00350D0B"/>
    <w:rsid w:val="00360399"/>
    <w:rsid w:val="00363DFE"/>
    <w:rsid w:val="00371C31"/>
    <w:rsid w:val="003746D1"/>
    <w:rsid w:val="00374A23"/>
    <w:rsid w:val="00376658"/>
    <w:rsid w:val="003822D8"/>
    <w:rsid w:val="00391327"/>
    <w:rsid w:val="0039540E"/>
    <w:rsid w:val="003955FC"/>
    <w:rsid w:val="00396984"/>
    <w:rsid w:val="003A3CC5"/>
    <w:rsid w:val="003A49EC"/>
    <w:rsid w:val="003B6A88"/>
    <w:rsid w:val="003B6EA8"/>
    <w:rsid w:val="003C0C5B"/>
    <w:rsid w:val="003C3762"/>
    <w:rsid w:val="003D2A82"/>
    <w:rsid w:val="003D489A"/>
    <w:rsid w:val="003F2CA8"/>
    <w:rsid w:val="00403477"/>
    <w:rsid w:val="00403716"/>
    <w:rsid w:val="004042FE"/>
    <w:rsid w:val="00407D95"/>
    <w:rsid w:val="00412441"/>
    <w:rsid w:val="00415188"/>
    <w:rsid w:val="004349E4"/>
    <w:rsid w:val="0043615A"/>
    <w:rsid w:val="00440C31"/>
    <w:rsid w:val="00441F8D"/>
    <w:rsid w:val="004436CE"/>
    <w:rsid w:val="00444728"/>
    <w:rsid w:val="00451645"/>
    <w:rsid w:val="004553C5"/>
    <w:rsid w:val="00464D8B"/>
    <w:rsid w:val="004651AF"/>
    <w:rsid w:val="00466DDD"/>
    <w:rsid w:val="00466E24"/>
    <w:rsid w:val="004714B2"/>
    <w:rsid w:val="00471A3B"/>
    <w:rsid w:val="00494F47"/>
    <w:rsid w:val="00496922"/>
    <w:rsid w:val="004975C1"/>
    <w:rsid w:val="004A0770"/>
    <w:rsid w:val="004A218F"/>
    <w:rsid w:val="004A47CF"/>
    <w:rsid w:val="004B72DD"/>
    <w:rsid w:val="004B72FD"/>
    <w:rsid w:val="004D19EA"/>
    <w:rsid w:val="004D23DA"/>
    <w:rsid w:val="004E2200"/>
    <w:rsid w:val="004E2619"/>
    <w:rsid w:val="004E2CB8"/>
    <w:rsid w:val="004E3841"/>
    <w:rsid w:val="004F1EB2"/>
    <w:rsid w:val="004F631D"/>
    <w:rsid w:val="004F7AF1"/>
    <w:rsid w:val="00500203"/>
    <w:rsid w:val="0050024F"/>
    <w:rsid w:val="00526734"/>
    <w:rsid w:val="00530B41"/>
    <w:rsid w:val="00530FDD"/>
    <w:rsid w:val="0053303B"/>
    <w:rsid w:val="005377B5"/>
    <w:rsid w:val="005409B7"/>
    <w:rsid w:val="00545EB5"/>
    <w:rsid w:val="005534E0"/>
    <w:rsid w:val="00554E49"/>
    <w:rsid w:val="00560762"/>
    <w:rsid w:val="00565052"/>
    <w:rsid w:val="00565D25"/>
    <w:rsid w:val="00571B9D"/>
    <w:rsid w:val="00572D06"/>
    <w:rsid w:val="00574A57"/>
    <w:rsid w:val="0057736F"/>
    <w:rsid w:val="005855A5"/>
    <w:rsid w:val="005942C3"/>
    <w:rsid w:val="00595D28"/>
    <w:rsid w:val="00597F9E"/>
    <w:rsid w:val="005A04EB"/>
    <w:rsid w:val="005C3629"/>
    <w:rsid w:val="005D1C8D"/>
    <w:rsid w:val="005D39D0"/>
    <w:rsid w:val="005D5790"/>
    <w:rsid w:val="005F02DD"/>
    <w:rsid w:val="006002F3"/>
    <w:rsid w:val="00603109"/>
    <w:rsid w:val="006035EB"/>
    <w:rsid w:val="00604511"/>
    <w:rsid w:val="00621748"/>
    <w:rsid w:val="0062550D"/>
    <w:rsid w:val="0064365B"/>
    <w:rsid w:val="00650A77"/>
    <w:rsid w:val="006567AF"/>
    <w:rsid w:val="00660301"/>
    <w:rsid w:val="0066109B"/>
    <w:rsid w:val="00662480"/>
    <w:rsid w:val="00676CA4"/>
    <w:rsid w:val="00686AD9"/>
    <w:rsid w:val="006A4E90"/>
    <w:rsid w:val="006B2830"/>
    <w:rsid w:val="006B375F"/>
    <w:rsid w:val="006B77D7"/>
    <w:rsid w:val="006C36B2"/>
    <w:rsid w:val="006C3A03"/>
    <w:rsid w:val="006D0976"/>
    <w:rsid w:val="00701A47"/>
    <w:rsid w:val="0070336B"/>
    <w:rsid w:val="00704F67"/>
    <w:rsid w:val="00705177"/>
    <w:rsid w:val="007060EE"/>
    <w:rsid w:val="0071283E"/>
    <w:rsid w:val="00722863"/>
    <w:rsid w:val="007242A5"/>
    <w:rsid w:val="00732060"/>
    <w:rsid w:val="00740695"/>
    <w:rsid w:val="00740CC4"/>
    <w:rsid w:val="00746C60"/>
    <w:rsid w:val="0074707E"/>
    <w:rsid w:val="00766A53"/>
    <w:rsid w:val="0077334C"/>
    <w:rsid w:val="00774375"/>
    <w:rsid w:val="00787323"/>
    <w:rsid w:val="00790BC7"/>
    <w:rsid w:val="0079320D"/>
    <w:rsid w:val="00793280"/>
    <w:rsid w:val="00794910"/>
    <w:rsid w:val="007B4548"/>
    <w:rsid w:val="007B4987"/>
    <w:rsid w:val="007B67F3"/>
    <w:rsid w:val="007C006A"/>
    <w:rsid w:val="007C7BB6"/>
    <w:rsid w:val="007D258F"/>
    <w:rsid w:val="007E07A1"/>
    <w:rsid w:val="007E2987"/>
    <w:rsid w:val="007E2CCD"/>
    <w:rsid w:val="007E6D6C"/>
    <w:rsid w:val="007F30E7"/>
    <w:rsid w:val="007F65E1"/>
    <w:rsid w:val="00802A8A"/>
    <w:rsid w:val="00802FED"/>
    <w:rsid w:val="00803922"/>
    <w:rsid w:val="00805EDE"/>
    <w:rsid w:val="00806F65"/>
    <w:rsid w:val="00812869"/>
    <w:rsid w:val="00816861"/>
    <w:rsid w:val="00823715"/>
    <w:rsid w:val="00824291"/>
    <w:rsid w:val="0083241E"/>
    <w:rsid w:val="008416C8"/>
    <w:rsid w:val="00841E26"/>
    <w:rsid w:val="00853699"/>
    <w:rsid w:val="00854EEE"/>
    <w:rsid w:val="00861493"/>
    <w:rsid w:val="00863EAE"/>
    <w:rsid w:val="00874D3D"/>
    <w:rsid w:val="00874FBD"/>
    <w:rsid w:val="008824CF"/>
    <w:rsid w:val="00886424"/>
    <w:rsid w:val="008A56B4"/>
    <w:rsid w:val="008A7AEA"/>
    <w:rsid w:val="008B0AFA"/>
    <w:rsid w:val="008B5A38"/>
    <w:rsid w:val="008B69BC"/>
    <w:rsid w:val="008B75B9"/>
    <w:rsid w:val="008C7B9E"/>
    <w:rsid w:val="008C7E51"/>
    <w:rsid w:val="008D156C"/>
    <w:rsid w:val="008D20AF"/>
    <w:rsid w:val="008E0AA8"/>
    <w:rsid w:val="008E3FE6"/>
    <w:rsid w:val="008F0C00"/>
    <w:rsid w:val="008F508B"/>
    <w:rsid w:val="009000E2"/>
    <w:rsid w:val="009011CC"/>
    <w:rsid w:val="00903316"/>
    <w:rsid w:val="00907293"/>
    <w:rsid w:val="009227F4"/>
    <w:rsid w:val="0093770B"/>
    <w:rsid w:val="00950766"/>
    <w:rsid w:val="00966008"/>
    <w:rsid w:val="009764AA"/>
    <w:rsid w:val="00977E00"/>
    <w:rsid w:val="0098072C"/>
    <w:rsid w:val="009A0DE3"/>
    <w:rsid w:val="009A2764"/>
    <w:rsid w:val="009A28A4"/>
    <w:rsid w:val="009A631A"/>
    <w:rsid w:val="009A68A9"/>
    <w:rsid w:val="009B1500"/>
    <w:rsid w:val="009C0438"/>
    <w:rsid w:val="009C58C8"/>
    <w:rsid w:val="009D32E6"/>
    <w:rsid w:val="009D37DA"/>
    <w:rsid w:val="009E0101"/>
    <w:rsid w:val="009E3341"/>
    <w:rsid w:val="009F0E9B"/>
    <w:rsid w:val="009F4BF9"/>
    <w:rsid w:val="009F575A"/>
    <w:rsid w:val="00A029CD"/>
    <w:rsid w:val="00A06D41"/>
    <w:rsid w:val="00A07990"/>
    <w:rsid w:val="00A11D7B"/>
    <w:rsid w:val="00A26FC1"/>
    <w:rsid w:val="00A332C5"/>
    <w:rsid w:val="00A339AF"/>
    <w:rsid w:val="00A47A52"/>
    <w:rsid w:val="00A505F2"/>
    <w:rsid w:val="00A514DB"/>
    <w:rsid w:val="00A55685"/>
    <w:rsid w:val="00A55E54"/>
    <w:rsid w:val="00A56BF2"/>
    <w:rsid w:val="00A6341C"/>
    <w:rsid w:val="00A72E03"/>
    <w:rsid w:val="00A7483A"/>
    <w:rsid w:val="00A766D6"/>
    <w:rsid w:val="00A80953"/>
    <w:rsid w:val="00A85E1F"/>
    <w:rsid w:val="00AA0438"/>
    <w:rsid w:val="00AA5664"/>
    <w:rsid w:val="00AB2E72"/>
    <w:rsid w:val="00AD45DE"/>
    <w:rsid w:val="00AE4EDA"/>
    <w:rsid w:val="00AF0727"/>
    <w:rsid w:val="00AF34DE"/>
    <w:rsid w:val="00AF5027"/>
    <w:rsid w:val="00B04D84"/>
    <w:rsid w:val="00B1654F"/>
    <w:rsid w:val="00B300AB"/>
    <w:rsid w:val="00B42A8A"/>
    <w:rsid w:val="00B46C99"/>
    <w:rsid w:val="00B50BA6"/>
    <w:rsid w:val="00B54923"/>
    <w:rsid w:val="00B646A0"/>
    <w:rsid w:val="00B64884"/>
    <w:rsid w:val="00B67E94"/>
    <w:rsid w:val="00B968AC"/>
    <w:rsid w:val="00BA58F7"/>
    <w:rsid w:val="00BB7F49"/>
    <w:rsid w:val="00BC751A"/>
    <w:rsid w:val="00BD082E"/>
    <w:rsid w:val="00BD0BAD"/>
    <w:rsid w:val="00BE4353"/>
    <w:rsid w:val="00BE5F3C"/>
    <w:rsid w:val="00C00A91"/>
    <w:rsid w:val="00C14741"/>
    <w:rsid w:val="00C34151"/>
    <w:rsid w:val="00C341FE"/>
    <w:rsid w:val="00C3464B"/>
    <w:rsid w:val="00C36908"/>
    <w:rsid w:val="00C44719"/>
    <w:rsid w:val="00C4780A"/>
    <w:rsid w:val="00C6508E"/>
    <w:rsid w:val="00C6706E"/>
    <w:rsid w:val="00C73FA9"/>
    <w:rsid w:val="00C74338"/>
    <w:rsid w:val="00C8250B"/>
    <w:rsid w:val="00C869DC"/>
    <w:rsid w:val="00C91900"/>
    <w:rsid w:val="00C95195"/>
    <w:rsid w:val="00C960C0"/>
    <w:rsid w:val="00CA3713"/>
    <w:rsid w:val="00CA5E9F"/>
    <w:rsid w:val="00CA724B"/>
    <w:rsid w:val="00CB0237"/>
    <w:rsid w:val="00CB2413"/>
    <w:rsid w:val="00CB4E23"/>
    <w:rsid w:val="00CB5328"/>
    <w:rsid w:val="00CB566A"/>
    <w:rsid w:val="00CB6B3D"/>
    <w:rsid w:val="00CC0A87"/>
    <w:rsid w:val="00CC0CE9"/>
    <w:rsid w:val="00CD3137"/>
    <w:rsid w:val="00CD68A7"/>
    <w:rsid w:val="00CD7E34"/>
    <w:rsid w:val="00CF3726"/>
    <w:rsid w:val="00CF5144"/>
    <w:rsid w:val="00CF649A"/>
    <w:rsid w:val="00CF6E02"/>
    <w:rsid w:val="00D07E12"/>
    <w:rsid w:val="00D111E7"/>
    <w:rsid w:val="00D149D3"/>
    <w:rsid w:val="00D25D75"/>
    <w:rsid w:val="00D27267"/>
    <w:rsid w:val="00D313E4"/>
    <w:rsid w:val="00D37ACC"/>
    <w:rsid w:val="00D41DCE"/>
    <w:rsid w:val="00D439B5"/>
    <w:rsid w:val="00D5531B"/>
    <w:rsid w:val="00D61560"/>
    <w:rsid w:val="00D70AD0"/>
    <w:rsid w:val="00D71C3F"/>
    <w:rsid w:val="00D7730F"/>
    <w:rsid w:val="00D90718"/>
    <w:rsid w:val="00DA7D0D"/>
    <w:rsid w:val="00DB7D23"/>
    <w:rsid w:val="00DC46CA"/>
    <w:rsid w:val="00DC47FA"/>
    <w:rsid w:val="00DD11ED"/>
    <w:rsid w:val="00DE334C"/>
    <w:rsid w:val="00DF045F"/>
    <w:rsid w:val="00DF39EB"/>
    <w:rsid w:val="00DF4068"/>
    <w:rsid w:val="00E01F2C"/>
    <w:rsid w:val="00E07D03"/>
    <w:rsid w:val="00E12DEA"/>
    <w:rsid w:val="00E1537F"/>
    <w:rsid w:val="00E20EE4"/>
    <w:rsid w:val="00E25F6B"/>
    <w:rsid w:val="00E26928"/>
    <w:rsid w:val="00E35D96"/>
    <w:rsid w:val="00E41989"/>
    <w:rsid w:val="00E469D0"/>
    <w:rsid w:val="00E46FEA"/>
    <w:rsid w:val="00E50B13"/>
    <w:rsid w:val="00E578FF"/>
    <w:rsid w:val="00E638A5"/>
    <w:rsid w:val="00E647D6"/>
    <w:rsid w:val="00E839BF"/>
    <w:rsid w:val="00E93A8B"/>
    <w:rsid w:val="00E95AA9"/>
    <w:rsid w:val="00EA2777"/>
    <w:rsid w:val="00EA3C3C"/>
    <w:rsid w:val="00EA3ED2"/>
    <w:rsid w:val="00EA67E6"/>
    <w:rsid w:val="00EB4B16"/>
    <w:rsid w:val="00EC0299"/>
    <w:rsid w:val="00EC3C0E"/>
    <w:rsid w:val="00EC493F"/>
    <w:rsid w:val="00EE47A8"/>
    <w:rsid w:val="00EE5682"/>
    <w:rsid w:val="00EF36F0"/>
    <w:rsid w:val="00F011E8"/>
    <w:rsid w:val="00F02C81"/>
    <w:rsid w:val="00F151F4"/>
    <w:rsid w:val="00F2000B"/>
    <w:rsid w:val="00F32299"/>
    <w:rsid w:val="00F34F58"/>
    <w:rsid w:val="00F36637"/>
    <w:rsid w:val="00F37CDA"/>
    <w:rsid w:val="00F41C68"/>
    <w:rsid w:val="00F428E0"/>
    <w:rsid w:val="00F53207"/>
    <w:rsid w:val="00F54AA9"/>
    <w:rsid w:val="00F570C0"/>
    <w:rsid w:val="00F57FA7"/>
    <w:rsid w:val="00F610DD"/>
    <w:rsid w:val="00F7322A"/>
    <w:rsid w:val="00F852E3"/>
    <w:rsid w:val="00F90AAA"/>
    <w:rsid w:val="00F92463"/>
    <w:rsid w:val="00F93D84"/>
    <w:rsid w:val="00FA7736"/>
    <w:rsid w:val="00FB026C"/>
    <w:rsid w:val="00FC01EE"/>
    <w:rsid w:val="00FC578A"/>
    <w:rsid w:val="00FD6B30"/>
    <w:rsid w:val="00FE0F10"/>
    <w:rsid w:val="00FE591B"/>
    <w:rsid w:val="00FF25D7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A07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42A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A07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42A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lv.su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5</cp:revision>
  <cp:lastPrinted>2017-06-19T11:34:00Z</cp:lastPrinted>
  <dcterms:created xsi:type="dcterms:W3CDTF">2017-06-09T09:52:00Z</dcterms:created>
  <dcterms:modified xsi:type="dcterms:W3CDTF">2017-06-19T11:48:00Z</dcterms:modified>
</cp:coreProperties>
</file>